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C2BB" w14:textId="77777777" w:rsidR="00615E0A" w:rsidRDefault="00615E0A" w:rsidP="002A5D5C">
      <w:pPr>
        <w:spacing w:after="0"/>
        <w:jc w:val="center"/>
        <w:rPr>
          <w:b/>
          <w:i/>
          <w:sz w:val="32"/>
        </w:rPr>
      </w:pPr>
    </w:p>
    <w:p w14:paraId="63C1AFCA" w14:textId="77777777" w:rsidR="00615E0A" w:rsidRPr="00615E0A" w:rsidRDefault="00615E0A" w:rsidP="00615E0A">
      <w:pPr>
        <w:spacing w:after="0"/>
        <w:jc w:val="center"/>
        <w:rPr>
          <w:rFonts w:ascii="Century Gothic" w:hAnsi="Century Gothic"/>
          <w:b/>
          <w:iCs/>
          <w:sz w:val="32"/>
        </w:rPr>
      </w:pPr>
      <w:r w:rsidRPr="00615E0A">
        <w:rPr>
          <w:rFonts w:ascii="Century Gothic" w:hAnsi="Century Gothic"/>
          <w:b/>
          <w:iCs/>
          <w:sz w:val="32"/>
        </w:rPr>
        <w:t>Tercer Simposio Latinoamericano de Control Biológico</w:t>
      </w:r>
    </w:p>
    <w:p w14:paraId="57693C79" w14:textId="415B39B5" w:rsidR="00615E0A" w:rsidRPr="00615E0A" w:rsidRDefault="00615E0A" w:rsidP="00615E0A">
      <w:pPr>
        <w:spacing w:after="0"/>
        <w:jc w:val="center"/>
        <w:rPr>
          <w:b/>
          <w:color w:val="006666"/>
          <w:sz w:val="28"/>
        </w:rPr>
      </w:pPr>
      <w:r w:rsidRPr="00615E0A">
        <w:rPr>
          <w:b/>
          <w:color w:val="006666"/>
          <w:sz w:val="28"/>
        </w:rPr>
        <w:t>20 al 22 de mayo de 2026</w:t>
      </w:r>
    </w:p>
    <w:p w14:paraId="2A5EEB5A" w14:textId="2EED0F1B" w:rsidR="00615E0A" w:rsidRPr="00615E0A" w:rsidRDefault="00615E0A" w:rsidP="00615E0A">
      <w:pPr>
        <w:spacing w:after="0"/>
        <w:jc w:val="center"/>
        <w:rPr>
          <w:b/>
          <w:color w:val="006666"/>
          <w:sz w:val="28"/>
        </w:rPr>
      </w:pPr>
      <w:r w:rsidRPr="00615E0A">
        <w:rPr>
          <w:b/>
          <w:color w:val="006666"/>
          <w:sz w:val="28"/>
        </w:rPr>
        <w:t>Guayaquil, Ecuador</w:t>
      </w:r>
    </w:p>
    <w:p w14:paraId="37738F22" w14:textId="77777777" w:rsidR="008803C8" w:rsidRPr="00615E0A" w:rsidRDefault="008803C8" w:rsidP="00F636A7">
      <w:pPr>
        <w:shd w:val="clear" w:color="auto" w:fill="FFFFFF"/>
        <w:spacing w:before="150" w:after="150" w:line="600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spacing w:val="12"/>
          <w:kern w:val="36"/>
          <w:sz w:val="24"/>
          <w:szCs w:val="24"/>
          <w:lang w:eastAsia="es-ES"/>
        </w:rPr>
      </w:pPr>
    </w:p>
    <w:p w14:paraId="6746D022" w14:textId="77777777" w:rsidR="00F636A7" w:rsidRPr="00F636A7" w:rsidRDefault="00F636A7" w:rsidP="00F636A7">
      <w:pPr>
        <w:shd w:val="clear" w:color="auto" w:fill="FFFFFF"/>
        <w:spacing w:before="150" w:after="150" w:line="600" w:lineRule="atLeast"/>
        <w:jc w:val="center"/>
        <w:outlineLvl w:val="0"/>
        <w:rPr>
          <w:rFonts w:ascii="Arial" w:eastAsia="Times New Roman" w:hAnsi="Arial" w:cs="Arial"/>
          <w:b/>
          <w:caps/>
          <w:color w:val="333333"/>
          <w:spacing w:val="12"/>
          <w:kern w:val="36"/>
          <w:sz w:val="24"/>
          <w:szCs w:val="24"/>
          <w:lang w:val="es-ES" w:eastAsia="es-ES"/>
        </w:rPr>
      </w:pPr>
      <w:r w:rsidRPr="00F636A7">
        <w:rPr>
          <w:rFonts w:ascii="Arial" w:eastAsia="Times New Roman" w:hAnsi="Arial" w:cs="Arial"/>
          <w:b/>
          <w:caps/>
          <w:color w:val="333333"/>
          <w:spacing w:val="12"/>
          <w:kern w:val="36"/>
          <w:sz w:val="24"/>
          <w:szCs w:val="24"/>
          <w:lang w:val="es-ES" w:eastAsia="es-ES"/>
        </w:rPr>
        <w:t>Caracter</w:t>
      </w:r>
      <w:r w:rsidR="0029451C">
        <w:rPr>
          <w:rFonts w:ascii="Arial" w:eastAsia="Times New Roman" w:hAnsi="Arial" w:cs="Arial"/>
          <w:b/>
          <w:caps/>
          <w:color w:val="333333"/>
          <w:spacing w:val="12"/>
          <w:kern w:val="36"/>
          <w:sz w:val="24"/>
          <w:szCs w:val="24"/>
          <w:lang w:val="es-ES" w:eastAsia="es-ES"/>
        </w:rPr>
        <w:t>Í</w:t>
      </w:r>
      <w:r w:rsidRPr="00F636A7">
        <w:rPr>
          <w:rFonts w:ascii="Arial" w:eastAsia="Times New Roman" w:hAnsi="Arial" w:cs="Arial"/>
          <w:b/>
          <w:caps/>
          <w:color w:val="333333"/>
          <w:spacing w:val="12"/>
          <w:kern w:val="36"/>
          <w:sz w:val="24"/>
          <w:szCs w:val="24"/>
          <w:lang w:val="es-ES" w:eastAsia="es-ES"/>
        </w:rPr>
        <w:t>sticas de los resúmenes</w:t>
      </w:r>
    </w:p>
    <w:p w14:paraId="22AB9ED1" w14:textId="77777777" w:rsidR="00F636A7" w:rsidRDefault="00F636A7" w:rsidP="00F636A7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lang w:val="es-ES" w:eastAsia="es-ES"/>
        </w:rPr>
      </w:pPr>
    </w:p>
    <w:p w14:paraId="2CF87212" w14:textId="77777777" w:rsidR="00F636A7" w:rsidRPr="00F636A7" w:rsidRDefault="00F636A7" w:rsidP="00F636A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b/>
          <w:bCs/>
          <w:color w:val="333333"/>
          <w:lang w:val="es-ES" w:eastAsia="es-ES"/>
        </w:rPr>
        <w:t>Recomendaciones para los autores</w:t>
      </w:r>
    </w:p>
    <w:p w14:paraId="523CF494" w14:textId="77777777" w:rsidR="00F636A7" w:rsidRPr="00F636A7" w:rsidRDefault="00F636A7" w:rsidP="00F636A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>El resumen debe ser escrito de preferencia en español, inglés o portugués, ajustándose al siguiente contenido: introducción, objetivos, materiales y métodos, resultados y conclusiones.</w:t>
      </w:r>
    </w:p>
    <w:p w14:paraId="077FBC05" w14:textId="77777777" w:rsidR="00F636A7" w:rsidRPr="00F636A7" w:rsidRDefault="00F636A7" w:rsidP="00F636A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>Utilice letra Arial 11, los nombres científicos en cursiva y debe contener la siguiente estructura:</w:t>
      </w:r>
    </w:p>
    <w:p w14:paraId="4A5CAEA8" w14:textId="77777777" w:rsidR="00F636A7" w:rsidRPr="00F636A7" w:rsidRDefault="00F636A7" w:rsidP="00F636A7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b/>
          <w:color w:val="333333"/>
          <w:lang w:val="es-ES" w:eastAsia="es-ES"/>
        </w:rPr>
        <w:t>Título, negrita y centrado</w:t>
      </w:r>
    </w:p>
    <w:p w14:paraId="60A54EA0" w14:textId="77777777" w:rsidR="00F636A7" w:rsidRPr="00F636A7" w:rsidRDefault="00F636A7" w:rsidP="00F636A7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>Título en inglés</w:t>
      </w:r>
      <w:r w:rsidRPr="00F636A7">
        <w:rPr>
          <w:rFonts w:ascii="Arial" w:eastAsia="Times New Roman" w:hAnsi="Arial" w:cs="Arial"/>
          <w:b/>
          <w:color w:val="333333"/>
          <w:lang w:val="es-ES" w:eastAsia="es-ES"/>
        </w:rPr>
        <w:t xml:space="preserve">, </w:t>
      </w:r>
      <w:r w:rsidRPr="00F636A7">
        <w:rPr>
          <w:rFonts w:ascii="Arial" w:eastAsia="Times New Roman" w:hAnsi="Arial" w:cs="Arial"/>
          <w:color w:val="333333"/>
          <w:lang w:val="es-ES" w:eastAsia="es-ES"/>
        </w:rPr>
        <w:t>sin negrita y centrado</w:t>
      </w:r>
    </w:p>
    <w:p w14:paraId="40C64A09" w14:textId="77777777" w:rsidR="00F636A7" w:rsidRPr="00F636A7" w:rsidRDefault="00F636A7" w:rsidP="008803C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 xml:space="preserve">Autores en negrita (ej. </w:t>
      </w:r>
      <w:r w:rsidRPr="00F636A7">
        <w:rPr>
          <w:rFonts w:ascii="Arial" w:eastAsia="Times New Roman" w:hAnsi="Arial" w:cs="Arial"/>
          <w:b/>
          <w:color w:val="333333"/>
          <w:u w:val="single"/>
          <w:lang w:val="es-ES" w:eastAsia="es-ES"/>
        </w:rPr>
        <w:t>Gacitúa M.</w:t>
      </w:r>
      <w:r w:rsidRPr="00F636A7">
        <w:rPr>
          <w:rFonts w:ascii="Arial" w:eastAsia="Times New Roman" w:hAnsi="Arial" w:cs="Arial"/>
          <w:b/>
          <w:color w:val="333333"/>
          <w:lang w:val="es-ES" w:eastAsia="es-ES"/>
        </w:rPr>
        <w:t>, Pérez J. y Castro F.</w:t>
      </w:r>
      <w:r w:rsidRPr="00F636A7">
        <w:rPr>
          <w:rFonts w:ascii="Arial" w:eastAsia="Times New Roman" w:hAnsi="Arial" w:cs="Arial"/>
          <w:color w:val="333333"/>
          <w:lang w:val="es-ES" w:eastAsia="es-ES"/>
        </w:rPr>
        <w:t>), centrado. Se debe subrayar el autor que expone.</w:t>
      </w:r>
    </w:p>
    <w:p w14:paraId="1213030E" w14:textId="77777777" w:rsidR="00F636A7" w:rsidRPr="00F636A7" w:rsidRDefault="00F636A7" w:rsidP="00F636A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>Instituciones y direcciones postales de todos los autores y correo electrónico del presentador. Si hay más de una institución, indique la pertenencia de cada autor con números arábicos en superíndice.</w:t>
      </w:r>
    </w:p>
    <w:p w14:paraId="7E68E402" w14:textId="77777777" w:rsidR="00F636A7" w:rsidRPr="00F636A7" w:rsidRDefault="00F636A7" w:rsidP="00F636A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lang w:val="es-ES" w:eastAsia="es-ES"/>
        </w:rPr>
        <w:t xml:space="preserve">El cuerpo del resumen no debe tener más de 250 palabras justificado. </w:t>
      </w:r>
    </w:p>
    <w:p w14:paraId="19001C36" w14:textId="77777777" w:rsidR="00F636A7" w:rsidRPr="00F636A7" w:rsidRDefault="00F636A7" w:rsidP="00F636A7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333333"/>
          <w:sz w:val="21"/>
          <w:szCs w:val="21"/>
          <w:lang w:val="es-ES" w:eastAsia="es-ES"/>
        </w:rPr>
      </w:pPr>
      <w:r w:rsidRPr="00F636A7">
        <w:rPr>
          <w:rFonts w:ascii="Arial" w:eastAsia="Times New Roman" w:hAnsi="Arial" w:cs="Arial"/>
          <w:b/>
          <w:color w:val="333333"/>
          <w:sz w:val="21"/>
          <w:szCs w:val="21"/>
          <w:lang w:val="es-ES" w:eastAsia="es-ES"/>
        </w:rPr>
        <w:t>Aceptación de los resúmenes</w:t>
      </w:r>
    </w:p>
    <w:p w14:paraId="34470448" w14:textId="77777777" w:rsidR="00F636A7" w:rsidRPr="00F636A7" w:rsidRDefault="00F636A7" w:rsidP="00F636A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 w:rsidRPr="00F636A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Los resúmenes serán revisados por el comité científico y los autores serán notificados sobre su aceptación y el tipo de presentación (oral/poster).</w:t>
      </w:r>
    </w:p>
    <w:p w14:paraId="237C0EA2" w14:textId="77777777" w:rsidR="00F636A7" w:rsidRPr="00F636A7" w:rsidRDefault="00F636A7" w:rsidP="00F636A7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333333"/>
          <w:sz w:val="21"/>
          <w:szCs w:val="21"/>
          <w:lang w:val="es-ES" w:eastAsia="es-ES"/>
        </w:rPr>
      </w:pPr>
      <w:r w:rsidRPr="00F636A7">
        <w:rPr>
          <w:rFonts w:ascii="Arial" w:eastAsia="Times New Roman" w:hAnsi="Arial" w:cs="Arial"/>
          <w:b/>
          <w:color w:val="333333"/>
          <w:sz w:val="21"/>
          <w:szCs w:val="21"/>
          <w:lang w:val="es-ES" w:eastAsia="es-ES"/>
        </w:rPr>
        <w:t>Inscripción</w:t>
      </w:r>
    </w:p>
    <w:p w14:paraId="694A1379" w14:textId="77777777" w:rsidR="00DE19AD" w:rsidRDefault="0029451C" w:rsidP="00E9402E">
      <w:pPr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Al menos uno de l</w:t>
      </w:r>
      <w:r w:rsidR="00F636A7" w:rsidRPr="00F636A7">
        <w:rPr>
          <w:rFonts w:ascii="Arial" w:eastAsia="Times New Roman" w:hAnsi="Arial" w:cs="Arial"/>
          <w:color w:val="333333"/>
          <w:sz w:val="21"/>
          <w:szCs w:val="21"/>
          <w:lang w:val="es-ES" w:eastAsia="es-ES"/>
        </w:rPr>
        <w:t>os autores debe inscribirse como participante.</w:t>
      </w:r>
    </w:p>
    <w:p w14:paraId="4D42196F" w14:textId="5D5B052F" w:rsidR="00B93F2D" w:rsidRPr="00B93F2D" w:rsidRDefault="00B93F2D" w:rsidP="00E9402E">
      <w:pPr>
        <w:rPr>
          <w:b/>
          <w:bCs/>
          <w:color w:val="244061" w:themeColor="accent1" w:themeShade="80"/>
          <w:sz w:val="32"/>
        </w:rPr>
      </w:pPr>
      <w:r w:rsidRPr="00B93F2D">
        <w:rPr>
          <w:rFonts w:ascii="Arial" w:eastAsia="Times New Roman" w:hAnsi="Arial" w:cs="Arial"/>
          <w:b/>
          <w:bCs/>
          <w:color w:val="333333"/>
          <w:sz w:val="21"/>
          <w:szCs w:val="21"/>
          <w:lang w:val="es-ES" w:eastAsia="es-ES"/>
        </w:rPr>
        <w:t xml:space="preserve">Ejemplo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val="es-ES" w:eastAsia="es-ES"/>
        </w:rPr>
        <w:t>página siguiente</w:t>
      </w:r>
    </w:p>
    <w:p w14:paraId="59D9F2C1" w14:textId="77777777" w:rsidR="00DE19AD" w:rsidRDefault="00DE19AD" w:rsidP="00664301">
      <w:pPr>
        <w:jc w:val="center"/>
        <w:rPr>
          <w:rFonts w:ascii="Calibri" w:eastAsia="Calibri" w:hAnsi="Calibri" w:cs="Times New Roman"/>
          <w:noProof/>
          <w:sz w:val="24"/>
          <w:lang w:val="es-ES"/>
        </w:rPr>
      </w:pPr>
    </w:p>
    <w:p w14:paraId="1942C23D" w14:textId="77777777" w:rsidR="00E9402E" w:rsidRPr="0029451C" w:rsidRDefault="00E9402E" w:rsidP="00664301">
      <w:pPr>
        <w:jc w:val="center"/>
        <w:rPr>
          <w:b/>
          <w:color w:val="244061" w:themeColor="accent1" w:themeShade="80"/>
          <w:sz w:val="32"/>
        </w:rPr>
      </w:pPr>
    </w:p>
    <w:p w14:paraId="312255C2" w14:textId="77777777" w:rsidR="00DE19AD" w:rsidRPr="0029451C" w:rsidRDefault="00DE19AD" w:rsidP="00664301">
      <w:pPr>
        <w:jc w:val="center"/>
        <w:rPr>
          <w:b/>
          <w:color w:val="244061" w:themeColor="accent1" w:themeShade="80"/>
          <w:sz w:val="32"/>
        </w:rPr>
      </w:pPr>
    </w:p>
    <w:p w14:paraId="0D40C4C7" w14:textId="77777777" w:rsidR="00E9402E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C9BCD8" w14:textId="77777777" w:rsidR="00E9402E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5E66F0" w14:textId="77777777" w:rsidR="00E9402E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9FCF11" w14:textId="77777777" w:rsidR="00E9402E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D79CC2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F494B">
        <w:rPr>
          <w:rFonts w:ascii="Arial" w:hAnsi="Arial" w:cs="Arial"/>
          <w:b/>
          <w:bCs/>
        </w:rPr>
        <w:t xml:space="preserve">Uso de </w:t>
      </w:r>
      <w:r w:rsidRPr="009F494B">
        <w:rPr>
          <w:rFonts w:ascii="Arial" w:hAnsi="Arial" w:cs="Arial"/>
          <w:b/>
          <w:bCs/>
          <w:i/>
        </w:rPr>
        <w:t>Pseudomonas</w:t>
      </w:r>
      <w:r w:rsidRPr="009F494B">
        <w:rPr>
          <w:rFonts w:ascii="Arial" w:hAnsi="Arial" w:cs="Arial"/>
          <w:b/>
          <w:bCs/>
        </w:rPr>
        <w:t xml:space="preserve"> como herramienta biológica para el control de Mal del pie en trigo en Chile.</w:t>
      </w:r>
    </w:p>
    <w:p w14:paraId="19A5B9A9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Cs/>
        </w:rPr>
      </w:pPr>
    </w:p>
    <w:p w14:paraId="05D0538D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Cs/>
          <w:lang w:val="en-US"/>
        </w:rPr>
      </w:pPr>
      <w:r w:rsidRPr="009F494B">
        <w:rPr>
          <w:rFonts w:ascii="Arial" w:hAnsi="Arial" w:cs="Arial"/>
          <w:bCs/>
          <w:lang w:val="en-US"/>
        </w:rPr>
        <w:t xml:space="preserve">Using </w:t>
      </w:r>
      <w:r w:rsidRPr="009F494B">
        <w:rPr>
          <w:rFonts w:ascii="Arial" w:hAnsi="Arial" w:cs="Arial"/>
          <w:bCs/>
          <w:i/>
          <w:lang w:val="en-US"/>
        </w:rPr>
        <w:t>Pseudomonas</w:t>
      </w:r>
      <w:r w:rsidRPr="009F494B">
        <w:rPr>
          <w:rFonts w:ascii="Arial" w:hAnsi="Arial" w:cs="Arial"/>
          <w:bCs/>
          <w:lang w:val="en-US"/>
        </w:rPr>
        <w:t xml:space="preserve"> as biological tool to control take-all disease of wheat in Chile.</w:t>
      </w:r>
    </w:p>
    <w:p w14:paraId="242202D2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47D2E76A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F494B">
        <w:rPr>
          <w:rFonts w:ascii="Arial" w:hAnsi="Arial" w:cs="Arial"/>
          <w:b/>
          <w:bCs/>
        </w:rPr>
        <w:t>Vera, C</w:t>
      </w:r>
      <w:r>
        <w:rPr>
          <w:rFonts w:ascii="Arial" w:hAnsi="Arial" w:cs="Arial"/>
          <w:b/>
          <w:bCs/>
        </w:rPr>
        <w:t>.</w:t>
      </w:r>
      <w:r w:rsidRPr="009F494B">
        <w:rPr>
          <w:rFonts w:ascii="Arial" w:hAnsi="Arial" w:cs="Arial"/>
          <w:b/>
          <w:bCs/>
          <w:vertAlign w:val="superscript"/>
        </w:rPr>
        <w:t xml:space="preserve"> 2</w:t>
      </w:r>
      <w:r w:rsidRPr="009F494B">
        <w:rPr>
          <w:rFonts w:ascii="Arial" w:hAnsi="Arial" w:cs="Arial"/>
          <w:b/>
          <w:bCs/>
        </w:rPr>
        <w:t>, Madariaga R</w:t>
      </w:r>
      <w:r>
        <w:rPr>
          <w:rFonts w:ascii="Arial" w:hAnsi="Arial" w:cs="Arial"/>
          <w:b/>
          <w:bCs/>
        </w:rPr>
        <w:t>.</w:t>
      </w:r>
      <w:r w:rsidRPr="009F494B">
        <w:rPr>
          <w:rFonts w:ascii="Arial" w:hAnsi="Arial" w:cs="Arial"/>
          <w:b/>
          <w:bCs/>
          <w:vertAlign w:val="superscript"/>
        </w:rPr>
        <w:t>2</w:t>
      </w:r>
      <w:r w:rsidRPr="009F494B">
        <w:rPr>
          <w:rFonts w:ascii="Arial" w:hAnsi="Arial" w:cs="Arial"/>
          <w:b/>
          <w:bCs/>
        </w:rPr>
        <w:t xml:space="preserve"> y Moya-Elizondo E</w:t>
      </w:r>
      <w:r>
        <w:rPr>
          <w:rFonts w:ascii="Arial" w:hAnsi="Arial" w:cs="Arial"/>
          <w:b/>
          <w:bCs/>
        </w:rPr>
        <w:t>.</w:t>
      </w:r>
      <w:r w:rsidRPr="009F494B">
        <w:rPr>
          <w:rFonts w:ascii="Arial" w:hAnsi="Arial" w:cs="Arial"/>
          <w:b/>
          <w:bCs/>
          <w:vertAlign w:val="superscript"/>
        </w:rPr>
        <w:t>1</w:t>
      </w:r>
    </w:p>
    <w:p w14:paraId="01049F09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Cs/>
        </w:rPr>
      </w:pPr>
      <w:r w:rsidRPr="009F494B">
        <w:rPr>
          <w:rFonts w:ascii="Arial" w:hAnsi="Arial" w:cs="Arial"/>
          <w:bCs/>
          <w:vertAlign w:val="superscript"/>
        </w:rPr>
        <w:t xml:space="preserve">1 </w:t>
      </w:r>
      <w:proofErr w:type="gramStart"/>
      <w:r w:rsidRPr="009F494B">
        <w:rPr>
          <w:rFonts w:ascii="Arial" w:hAnsi="Arial" w:cs="Arial"/>
          <w:bCs/>
        </w:rPr>
        <w:t>Universidad</w:t>
      </w:r>
      <w:proofErr w:type="gramEnd"/>
      <w:r w:rsidRPr="009F494B">
        <w:rPr>
          <w:rFonts w:ascii="Arial" w:hAnsi="Arial" w:cs="Arial"/>
          <w:bCs/>
        </w:rPr>
        <w:t xml:space="preserve"> de Concepción, Facultad de Agronomía, Departamento de Producción Vegetal, Chillán, Ñuble, Chile. </w:t>
      </w:r>
    </w:p>
    <w:p w14:paraId="2955C15C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Cs/>
        </w:rPr>
      </w:pPr>
      <w:r w:rsidRPr="009F494B">
        <w:rPr>
          <w:rFonts w:ascii="Arial" w:hAnsi="Arial" w:cs="Arial"/>
          <w:bCs/>
          <w:vertAlign w:val="superscript"/>
        </w:rPr>
        <w:t xml:space="preserve">2 </w:t>
      </w:r>
      <w:proofErr w:type="gramStart"/>
      <w:r w:rsidRPr="009F494B">
        <w:rPr>
          <w:rFonts w:ascii="Arial" w:hAnsi="Arial" w:cs="Arial"/>
          <w:bCs/>
        </w:rPr>
        <w:t>Instituto</w:t>
      </w:r>
      <w:proofErr w:type="gramEnd"/>
      <w:r w:rsidRPr="009F494B">
        <w:rPr>
          <w:rFonts w:ascii="Arial" w:hAnsi="Arial" w:cs="Arial"/>
          <w:bCs/>
        </w:rPr>
        <w:t xml:space="preserve"> de Investigaciones Agropecuarias, INIA Quilamapu, Chillán, Ñuble, Chile.</w:t>
      </w:r>
    </w:p>
    <w:p w14:paraId="59E7BCE4" w14:textId="77777777" w:rsidR="00E9402E" w:rsidRPr="009F494B" w:rsidRDefault="00E9402E" w:rsidP="00E9402E">
      <w:pPr>
        <w:spacing w:after="0" w:line="240" w:lineRule="auto"/>
        <w:jc w:val="center"/>
        <w:rPr>
          <w:rFonts w:ascii="Arial" w:hAnsi="Arial" w:cs="Arial"/>
          <w:bCs/>
        </w:rPr>
      </w:pPr>
      <w:r w:rsidRPr="009F494B">
        <w:rPr>
          <w:rFonts w:ascii="Arial" w:hAnsi="Arial" w:cs="Arial"/>
          <w:bCs/>
        </w:rPr>
        <w:t>E-mail: carolavera@udec.cl</w:t>
      </w:r>
    </w:p>
    <w:p w14:paraId="2A464D56" w14:textId="77777777" w:rsidR="00E9402E" w:rsidRPr="009F494B" w:rsidRDefault="00E9402E" w:rsidP="00E9402E">
      <w:pPr>
        <w:spacing w:after="0" w:line="240" w:lineRule="auto"/>
        <w:jc w:val="both"/>
        <w:rPr>
          <w:rFonts w:ascii="Arial" w:hAnsi="Arial" w:cs="Arial"/>
        </w:rPr>
      </w:pPr>
    </w:p>
    <w:p w14:paraId="66119795" w14:textId="77777777" w:rsidR="00E9402E" w:rsidRPr="009F494B" w:rsidRDefault="00E9402E" w:rsidP="00E9402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9F494B">
        <w:rPr>
          <w:rFonts w:ascii="Arial" w:hAnsi="Arial" w:cs="Arial"/>
          <w:color w:val="000000"/>
        </w:rPr>
        <w:t xml:space="preserve">El hongo </w:t>
      </w:r>
      <w:proofErr w:type="spellStart"/>
      <w:r w:rsidRPr="009F494B">
        <w:rPr>
          <w:rFonts w:ascii="Arial" w:hAnsi="Arial" w:cs="Arial"/>
          <w:i/>
          <w:color w:val="000000"/>
        </w:rPr>
        <w:t>Gaeumannomyces</w:t>
      </w:r>
      <w:proofErr w:type="spellEnd"/>
      <w:r w:rsidRPr="009F494B">
        <w:rPr>
          <w:rFonts w:ascii="Arial" w:hAnsi="Arial" w:cs="Arial"/>
          <w:i/>
          <w:color w:val="000000"/>
        </w:rPr>
        <w:t xml:space="preserve"> </w:t>
      </w:r>
      <w:proofErr w:type="spellStart"/>
      <w:r w:rsidRPr="009F494B">
        <w:rPr>
          <w:rFonts w:ascii="Arial" w:hAnsi="Arial" w:cs="Arial"/>
          <w:i/>
          <w:color w:val="000000"/>
        </w:rPr>
        <w:t>graminis</w:t>
      </w:r>
      <w:proofErr w:type="spellEnd"/>
      <w:r w:rsidRPr="009F494B">
        <w:rPr>
          <w:rFonts w:ascii="Arial" w:hAnsi="Arial" w:cs="Arial"/>
          <w:i/>
          <w:color w:val="000000"/>
        </w:rPr>
        <w:t xml:space="preserve"> </w:t>
      </w:r>
      <w:proofErr w:type="spellStart"/>
      <w:r w:rsidRPr="009F494B">
        <w:rPr>
          <w:rFonts w:ascii="Arial" w:hAnsi="Arial" w:cs="Arial"/>
          <w:color w:val="000000"/>
        </w:rPr>
        <w:t>var</w:t>
      </w:r>
      <w:proofErr w:type="spellEnd"/>
      <w:r w:rsidRPr="009F494B">
        <w:rPr>
          <w:rFonts w:ascii="Arial" w:hAnsi="Arial" w:cs="Arial"/>
          <w:i/>
          <w:color w:val="000000"/>
        </w:rPr>
        <w:t xml:space="preserve">. </w:t>
      </w:r>
      <w:proofErr w:type="spellStart"/>
      <w:proofErr w:type="gramStart"/>
      <w:r w:rsidRPr="009F494B">
        <w:rPr>
          <w:rFonts w:ascii="Arial" w:hAnsi="Arial" w:cs="Arial"/>
          <w:i/>
          <w:color w:val="000000"/>
        </w:rPr>
        <w:t>tritici</w:t>
      </w:r>
      <w:proofErr w:type="spellEnd"/>
      <w:r w:rsidRPr="009F494B">
        <w:rPr>
          <w:rFonts w:ascii="Arial" w:hAnsi="Arial" w:cs="Arial"/>
          <w:color w:val="000000"/>
        </w:rPr>
        <w:t xml:space="preserve">  agente</w:t>
      </w:r>
      <w:proofErr w:type="gramEnd"/>
      <w:r w:rsidRPr="009F494B">
        <w:rPr>
          <w:rFonts w:ascii="Arial" w:hAnsi="Arial" w:cs="Arial"/>
          <w:color w:val="000000"/>
        </w:rPr>
        <w:t xml:space="preserve"> causal de “mal del pie”, es una de las enfermedades más destructivas del trigo a nivel mundial. El control utilizado con frecuencia es la rotación con cultivos no hospederos complementado con </w:t>
      </w:r>
      <w:r w:rsidRPr="009F494B">
        <w:rPr>
          <w:rFonts w:ascii="Arial" w:hAnsi="Arial" w:cs="Arial"/>
          <w:bCs/>
          <w:color w:val="000000"/>
        </w:rPr>
        <w:t>fungicidas</w:t>
      </w:r>
      <w:r w:rsidRPr="009F494B">
        <w:rPr>
          <w:rFonts w:ascii="Arial" w:hAnsi="Arial" w:cs="Arial"/>
          <w:color w:val="000000"/>
        </w:rPr>
        <w:t xml:space="preserve"> a la</w:t>
      </w:r>
      <w:r w:rsidRPr="009F494B">
        <w:rPr>
          <w:rFonts w:ascii="Arial" w:hAnsi="Arial" w:cs="Arial"/>
          <w:bCs/>
          <w:color w:val="000000"/>
        </w:rPr>
        <w:t xml:space="preserve"> semilla, sin embargo, los resultados de este control son variables. La incorporación de compuestos antimicrobiales podría mejorar el control, como </w:t>
      </w:r>
      <w:r w:rsidRPr="009F494B">
        <w:rPr>
          <w:rFonts w:ascii="Arial" w:hAnsi="Arial" w:cs="Arial"/>
          <w:color w:val="000000"/>
        </w:rPr>
        <w:t xml:space="preserve">2,4-diacetilfluoroglucinol (2,4-DAPG) producido por la bacteria </w:t>
      </w:r>
      <w:r w:rsidRPr="009F494B">
        <w:rPr>
          <w:rFonts w:ascii="Arial" w:hAnsi="Arial" w:cs="Arial"/>
          <w:bCs/>
          <w:i/>
          <w:color w:val="000000"/>
        </w:rPr>
        <w:t xml:space="preserve">Pseudomonas </w:t>
      </w:r>
      <w:proofErr w:type="spellStart"/>
      <w:r w:rsidRPr="009F494B">
        <w:rPr>
          <w:rFonts w:ascii="Arial" w:hAnsi="Arial" w:cs="Arial"/>
          <w:bCs/>
          <w:i/>
          <w:color w:val="000000"/>
        </w:rPr>
        <w:t>protegens</w:t>
      </w:r>
      <w:proofErr w:type="spellEnd"/>
      <w:r w:rsidRPr="009F494B">
        <w:rPr>
          <w:rFonts w:ascii="Arial" w:hAnsi="Arial" w:cs="Arial"/>
          <w:bCs/>
          <w:color w:val="000000"/>
        </w:rPr>
        <w:t xml:space="preserve"> poseedora del gen </w:t>
      </w:r>
      <w:proofErr w:type="spellStart"/>
      <w:r w:rsidRPr="009F494B">
        <w:rPr>
          <w:rFonts w:ascii="Arial" w:hAnsi="Arial" w:cs="Arial"/>
          <w:bCs/>
          <w:i/>
          <w:color w:val="000000"/>
        </w:rPr>
        <w:t>phlD</w:t>
      </w:r>
      <w:proofErr w:type="spellEnd"/>
      <w:r>
        <w:rPr>
          <w:rFonts w:ascii="Arial" w:hAnsi="Arial" w:cs="Arial"/>
          <w:bCs/>
          <w:color w:val="000000"/>
        </w:rPr>
        <w:t xml:space="preserve">+. </w:t>
      </w:r>
      <w:r w:rsidRPr="009F494B">
        <w:rPr>
          <w:rFonts w:ascii="Arial" w:hAnsi="Arial" w:cs="Arial"/>
          <w:color w:val="000000"/>
        </w:rPr>
        <w:t xml:space="preserve">Se evaluó el efecto de </w:t>
      </w:r>
      <w:r w:rsidRPr="009F494B">
        <w:rPr>
          <w:rFonts w:ascii="Arial" w:hAnsi="Arial" w:cs="Arial"/>
          <w:bCs/>
          <w:color w:val="000000"/>
        </w:rPr>
        <w:t>dos cepas chilenas de</w:t>
      </w:r>
      <w:r w:rsidRPr="009F494B">
        <w:rPr>
          <w:rFonts w:ascii="Arial" w:hAnsi="Arial" w:cs="Arial"/>
          <w:color w:val="000000"/>
        </w:rPr>
        <w:t xml:space="preserve"> </w:t>
      </w:r>
      <w:r w:rsidRPr="009F494B">
        <w:rPr>
          <w:rFonts w:ascii="Arial" w:hAnsi="Arial" w:cs="Arial"/>
          <w:bCs/>
          <w:i/>
          <w:color w:val="000000"/>
        </w:rPr>
        <w:t xml:space="preserve">P. </w:t>
      </w:r>
      <w:proofErr w:type="spellStart"/>
      <w:r w:rsidRPr="009F494B">
        <w:rPr>
          <w:rFonts w:ascii="Arial" w:hAnsi="Arial" w:cs="Arial"/>
          <w:bCs/>
          <w:i/>
          <w:color w:val="000000"/>
        </w:rPr>
        <w:t>protegens</w:t>
      </w:r>
      <w:proofErr w:type="spellEnd"/>
      <w:r w:rsidRPr="009F494B">
        <w:rPr>
          <w:rFonts w:ascii="Arial" w:hAnsi="Arial" w:cs="Arial"/>
          <w:bCs/>
          <w:color w:val="000000"/>
        </w:rPr>
        <w:t xml:space="preserve"> y el fungicida </w:t>
      </w:r>
      <w:proofErr w:type="spellStart"/>
      <w:r w:rsidRPr="009F494B">
        <w:rPr>
          <w:rFonts w:ascii="Arial" w:hAnsi="Arial" w:cs="Arial"/>
          <w:bCs/>
          <w:color w:val="000000"/>
        </w:rPr>
        <w:t>fluquinconazole</w:t>
      </w:r>
      <w:proofErr w:type="spellEnd"/>
      <w:r w:rsidRPr="009F494B">
        <w:rPr>
          <w:rFonts w:ascii="Arial" w:hAnsi="Arial" w:cs="Arial"/>
          <w:color w:val="000000"/>
        </w:rPr>
        <w:t xml:space="preserve"> aplicados a</w:t>
      </w:r>
      <w:r w:rsidRPr="009F494B">
        <w:rPr>
          <w:rFonts w:ascii="Arial" w:hAnsi="Arial" w:cs="Arial"/>
          <w:bCs/>
          <w:color w:val="000000"/>
        </w:rPr>
        <w:t xml:space="preserve"> semillas de trigo </w:t>
      </w:r>
      <w:r w:rsidRPr="009F494B">
        <w:rPr>
          <w:rFonts w:ascii="Arial" w:hAnsi="Arial" w:cs="Arial"/>
          <w:bCs/>
          <w:snapToGrid w:val="0"/>
          <w:color w:val="000000"/>
        </w:rPr>
        <w:t xml:space="preserve">invernal “Maxwell” </w:t>
      </w:r>
      <w:r w:rsidRPr="009F494B">
        <w:rPr>
          <w:rFonts w:ascii="Arial" w:hAnsi="Arial" w:cs="Arial"/>
          <w:bCs/>
          <w:color w:val="000000"/>
        </w:rPr>
        <w:t xml:space="preserve">sobre componentes de rendimiento y daño producido por la enfermedad. Se establecieron tres </w:t>
      </w:r>
      <w:r w:rsidRPr="009F494B">
        <w:rPr>
          <w:rFonts w:ascii="Arial" w:hAnsi="Arial" w:cs="Arial"/>
          <w:bCs/>
          <w:snapToGrid w:val="0"/>
          <w:color w:val="000000"/>
        </w:rPr>
        <w:t>experimentos de campo en Chillán, Región de Biobío, entre las temporadas 2014 y 2016. Se usó un diseño de bloques completos al azar con cuatro repeticiones (parcelas de 2,4 m</w:t>
      </w:r>
      <w:r w:rsidRPr="009F494B">
        <w:rPr>
          <w:rFonts w:ascii="Arial" w:hAnsi="Arial" w:cs="Arial"/>
          <w:bCs/>
          <w:snapToGrid w:val="0"/>
          <w:color w:val="000000"/>
          <w:vertAlign w:val="superscript"/>
        </w:rPr>
        <w:t>2</w:t>
      </w:r>
      <w:r w:rsidRPr="009F494B">
        <w:rPr>
          <w:rFonts w:ascii="Arial" w:hAnsi="Arial" w:cs="Arial"/>
          <w:bCs/>
          <w:snapToGrid w:val="0"/>
          <w:color w:val="000000"/>
        </w:rPr>
        <w:t xml:space="preserve">) y nueve tratamientos que correspondían al uso las dos cepas bacterianas utilizadas individualmente, en mezcla o en combinación con </w:t>
      </w:r>
      <w:proofErr w:type="spellStart"/>
      <w:r w:rsidRPr="009F494B">
        <w:rPr>
          <w:rFonts w:ascii="Arial" w:hAnsi="Arial" w:cs="Arial"/>
          <w:bCs/>
          <w:snapToGrid w:val="0"/>
          <w:color w:val="000000"/>
        </w:rPr>
        <w:t>fluquinconazole</w:t>
      </w:r>
      <w:proofErr w:type="spellEnd"/>
      <w:r w:rsidRPr="009F494B">
        <w:rPr>
          <w:rFonts w:ascii="Arial" w:hAnsi="Arial" w:cs="Arial"/>
          <w:bCs/>
          <w:snapToGrid w:val="0"/>
          <w:color w:val="000000"/>
        </w:rPr>
        <w:t xml:space="preserve">. Todos los tratamientos fueron inoculados con el hongo a excepción del testigo. </w:t>
      </w:r>
      <w:r w:rsidRPr="009F494B">
        <w:rPr>
          <w:rFonts w:ascii="Arial" w:hAnsi="Arial" w:cs="Arial"/>
          <w:bCs/>
          <w:color w:val="000000"/>
        </w:rPr>
        <w:t xml:space="preserve">Al aplicar ambas cepas más </w:t>
      </w:r>
      <w:proofErr w:type="spellStart"/>
      <w:r w:rsidRPr="009F494B">
        <w:rPr>
          <w:rFonts w:ascii="Arial" w:hAnsi="Arial" w:cs="Arial"/>
          <w:bCs/>
          <w:color w:val="000000"/>
        </w:rPr>
        <w:t>fluquinconazole</w:t>
      </w:r>
      <w:proofErr w:type="spellEnd"/>
      <w:r w:rsidRPr="009F494B">
        <w:rPr>
          <w:rFonts w:ascii="Arial" w:hAnsi="Arial" w:cs="Arial"/>
          <w:bCs/>
          <w:color w:val="000000"/>
        </w:rPr>
        <w:t xml:space="preserve">, incrementó el rendimiento (34%) y calidad de grano (2,1%), disminuyendo la severidad (50%) y las espigas blancas (32%), con respecto al testigo inoculado (P≤0,05). El uso de cepas de forma individual y sin fungicida fue similar al testigo inoculado. Integrar </w:t>
      </w:r>
      <w:r w:rsidRPr="009F494B">
        <w:rPr>
          <w:rFonts w:ascii="Arial" w:hAnsi="Arial" w:cs="Arial"/>
          <w:bCs/>
          <w:i/>
          <w:color w:val="000000"/>
        </w:rPr>
        <w:t xml:space="preserve">P. </w:t>
      </w:r>
      <w:proofErr w:type="spellStart"/>
      <w:r w:rsidRPr="009F494B">
        <w:rPr>
          <w:rFonts w:ascii="Arial" w:hAnsi="Arial" w:cs="Arial"/>
          <w:bCs/>
          <w:i/>
          <w:color w:val="000000"/>
        </w:rPr>
        <w:t>protegens</w:t>
      </w:r>
      <w:proofErr w:type="spellEnd"/>
      <w:r w:rsidRPr="009F494B">
        <w:rPr>
          <w:rFonts w:ascii="Arial" w:hAnsi="Arial" w:cs="Arial"/>
          <w:bCs/>
          <w:i/>
          <w:color w:val="000000"/>
        </w:rPr>
        <w:t xml:space="preserve"> </w:t>
      </w:r>
      <w:r w:rsidRPr="009F494B">
        <w:rPr>
          <w:rFonts w:ascii="Arial" w:hAnsi="Arial" w:cs="Arial"/>
          <w:bCs/>
          <w:color w:val="000000"/>
        </w:rPr>
        <w:t xml:space="preserve">productoras de 2,4-DAPG con </w:t>
      </w:r>
      <w:proofErr w:type="spellStart"/>
      <w:r w:rsidRPr="009F494B">
        <w:rPr>
          <w:rFonts w:ascii="Arial" w:hAnsi="Arial" w:cs="Arial"/>
          <w:bCs/>
          <w:color w:val="000000"/>
        </w:rPr>
        <w:t>fluquinconazole</w:t>
      </w:r>
      <w:proofErr w:type="spellEnd"/>
      <w:r w:rsidRPr="009F494B">
        <w:rPr>
          <w:rFonts w:ascii="Arial" w:hAnsi="Arial" w:cs="Arial"/>
          <w:bCs/>
          <w:color w:val="000000"/>
        </w:rPr>
        <w:t xml:space="preserve"> es una alternativa viable para mejorar el control de “mal del pie” en la zona sur de Chile.</w:t>
      </w:r>
    </w:p>
    <w:p w14:paraId="4BF129F0" w14:textId="77777777" w:rsidR="00E9402E" w:rsidRDefault="00E9402E" w:rsidP="00E9402E">
      <w:pPr>
        <w:spacing w:after="0"/>
        <w:rPr>
          <w:highlight w:val="yellow"/>
        </w:rPr>
      </w:pPr>
    </w:p>
    <w:p w14:paraId="7DE2AADC" w14:textId="77777777" w:rsidR="00DE19AD" w:rsidRPr="0029451C" w:rsidRDefault="00DE19AD" w:rsidP="00664301">
      <w:pPr>
        <w:jc w:val="center"/>
        <w:rPr>
          <w:b/>
          <w:color w:val="244061" w:themeColor="accent1" w:themeShade="80"/>
          <w:sz w:val="32"/>
        </w:rPr>
      </w:pPr>
    </w:p>
    <w:p w14:paraId="7BC1AF7B" w14:textId="77777777" w:rsidR="00E9402E" w:rsidRPr="0029451C" w:rsidRDefault="00E9402E" w:rsidP="00664301">
      <w:pPr>
        <w:jc w:val="center"/>
        <w:rPr>
          <w:b/>
          <w:color w:val="244061" w:themeColor="accent1" w:themeShade="80"/>
          <w:sz w:val="32"/>
        </w:rPr>
      </w:pPr>
    </w:p>
    <w:p w14:paraId="507601BC" w14:textId="058B8554" w:rsidR="001B6CE1" w:rsidRPr="00CF01C6" w:rsidRDefault="001B6CE1" w:rsidP="00E9402E">
      <w:pPr>
        <w:jc w:val="center"/>
        <w:rPr>
          <w:sz w:val="24"/>
          <w:lang w:val="es-ES"/>
        </w:rPr>
      </w:pPr>
    </w:p>
    <w:sectPr w:rsidR="001B6CE1" w:rsidRPr="00CF01C6" w:rsidSect="00615E0A">
      <w:headerReference w:type="default" r:id="rId7"/>
      <w:footerReference w:type="default" r:id="rId8"/>
      <w:pgSz w:w="11907" w:h="16840" w:code="9"/>
      <w:pgMar w:top="1418" w:right="1418" w:bottom="127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26FE" w14:textId="77777777" w:rsidR="00440744" w:rsidRDefault="00440744" w:rsidP="00A02A2E">
      <w:pPr>
        <w:spacing w:after="0" w:line="240" w:lineRule="auto"/>
      </w:pPr>
      <w:r>
        <w:separator/>
      </w:r>
    </w:p>
  </w:endnote>
  <w:endnote w:type="continuationSeparator" w:id="0">
    <w:p w14:paraId="432451DF" w14:textId="77777777" w:rsidR="00440744" w:rsidRDefault="00440744" w:rsidP="00A0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27B3" w14:textId="77777777" w:rsidR="00414FE8" w:rsidRDefault="00414FE8" w:rsidP="00414FE8"/>
  <w:p w14:paraId="4F94650D" w14:textId="43B0B30A" w:rsidR="00AD68C1" w:rsidRPr="00B93F2D" w:rsidRDefault="00B93F2D" w:rsidP="00B93F2D">
    <w:pPr>
      <w:pStyle w:val="Piedepgina"/>
      <w:jc w:val="center"/>
      <w:rPr>
        <w:iCs/>
        <w:color w:val="006666"/>
        <w:sz w:val="28"/>
        <w:szCs w:val="28"/>
      </w:rPr>
    </w:pPr>
    <w:r w:rsidRPr="00B93F2D">
      <w:rPr>
        <w:iCs/>
        <w:noProof/>
        <w:color w:val="006666"/>
        <w:szCs w:val="28"/>
        <w:lang w:val="es-ES" w:eastAsia="es-ES"/>
      </w:rPr>
      <w:t>www.</w:t>
    </w:r>
    <w:r w:rsidRPr="00B93F2D">
      <w:rPr>
        <w:iCs/>
        <w:noProof/>
        <w:color w:val="006666"/>
        <w:szCs w:val="28"/>
        <w:lang w:val="es-ES" w:eastAsia="es-ES"/>
      </w:rPr>
      <w:t>simposiolatamcontrolbiologico.com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54CB" w14:textId="77777777" w:rsidR="00440744" w:rsidRDefault="00440744" w:rsidP="00A02A2E">
      <w:pPr>
        <w:spacing w:after="0" w:line="240" w:lineRule="auto"/>
      </w:pPr>
      <w:r>
        <w:separator/>
      </w:r>
    </w:p>
  </w:footnote>
  <w:footnote w:type="continuationSeparator" w:id="0">
    <w:p w14:paraId="2995A757" w14:textId="77777777" w:rsidR="00440744" w:rsidRDefault="00440744" w:rsidP="00A0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4F94" w14:textId="5D3095FE" w:rsidR="00A02A2E" w:rsidRDefault="00AD68C1" w:rsidP="002A5D5C">
    <w:pPr>
      <w:pStyle w:val="Encabezado"/>
    </w:pPr>
    <w:r>
      <w:t xml:space="preserve">            </w:t>
    </w:r>
    <w:r w:rsidR="002A5D5C">
      <w:t xml:space="preserve">                  </w:t>
    </w:r>
    <w:r>
      <w:t xml:space="preserve">        </w:t>
    </w:r>
    <w:r w:rsidR="002A5D5C">
      <w:t xml:space="preserve">             </w:t>
    </w:r>
    <w:r>
      <w:t xml:space="preserve">  </w:t>
    </w:r>
    <w:r w:rsidR="002A5D5C">
      <w:t xml:space="preserve">     </w:t>
    </w:r>
    <w:r w:rsidR="00615E0A">
      <w:rPr>
        <w:noProof/>
      </w:rPr>
      <w:drawing>
        <wp:inline distT="0" distB="0" distL="0" distR="0" wp14:anchorId="2BF70652" wp14:editId="12807C60">
          <wp:extent cx="2439942" cy="606556"/>
          <wp:effectExtent l="0" t="0" r="0" b="3175"/>
          <wp:docPr id="1599895041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7177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365" cy="614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05C"/>
    <w:multiLevelType w:val="hybridMultilevel"/>
    <w:tmpl w:val="90826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45B6A"/>
    <w:multiLevelType w:val="hybridMultilevel"/>
    <w:tmpl w:val="7004D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07F2"/>
    <w:multiLevelType w:val="hybridMultilevel"/>
    <w:tmpl w:val="2256A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D080F"/>
    <w:multiLevelType w:val="hybridMultilevel"/>
    <w:tmpl w:val="AC84F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2799">
    <w:abstractNumId w:val="0"/>
  </w:num>
  <w:num w:numId="2" w16cid:durableId="1129128066">
    <w:abstractNumId w:val="2"/>
  </w:num>
  <w:num w:numId="3" w16cid:durableId="22173602">
    <w:abstractNumId w:val="1"/>
  </w:num>
  <w:num w:numId="4" w16cid:durableId="179702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86"/>
    <w:rsid w:val="00014C5D"/>
    <w:rsid w:val="00015CC6"/>
    <w:rsid w:val="00031809"/>
    <w:rsid w:val="00052C1C"/>
    <w:rsid w:val="00055DB4"/>
    <w:rsid w:val="000A3D98"/>
    <w:rsid w:val="001A3CEF"/>
    <w:rsid w:val="001B6CE1"/>
    <w:rsid w:val="001F37E0"/>
    <w:rsid w:val="00201869"/>
    <w:rsid w:val="002048FA"/>
    <w:rsid w:val="00224186"/>
    <w:rsid w:val="00277FE2"/>
    <w:rsid w:val="0029451C"/>
    <w:rsid w:val="002959A8"/>
    <w:rsid w:val="002A5D5C"/>
    <w:rsid w:val="002E436A"/>
    <w:rsid w:val="002F0D58"/>
    <w:rsid w:val="002F24BD"/>
    <w:rsid w:val="00311078"/>
    <w:rsid w:val="00336B0E"/>
    <w:rsid w:val="00353103"/>
    <w:rsid w:val="00380B2D"/>
    <w:rsid w:val="00387D96"/>
    <w:rsid w:val="003B576B"/>
    <w:rsid w:val="00414FE8"/>
    <w:rsid w:val="00440744"/>
    <w:rsid w:val="0047280E"/>
    <w:rsid w:val="0047547B"/>
    <w:rsid w:val="004924B2"/>
    <w:rsid w:val="0049556A"/>
    <w:rsid w:val="00546002"/>
    <w:rsid w:val="005577F8"/>
    <w:rsid w:val="005F467C"/>
    <w:rsid w:val="005F76A6"/>
    <w:rsid w:val="00615E0A"/>
    <w:rsid w:val="00637768"/>
    <w:rsid w:val="0064665A"/>
    <w:rsid w:val="00664301"/>
    <w:rsid w:val="007142DD"/>
    <w:rsid w:val="00721671"/>
    <w:rsid w:val="0072329D"/>
    <w:rsid w:val="00723D43"/>
    <w:rsid w:val="00791AE0"/>
    <w:rsid w:val="00810B46"/>
    <w:rsid w:val="00843561"/>
    <w:rsid w:val="008803C8"/>
    <w:rsid w:val="008967FE"/>
    <w:rsid w:val="008C503D"/>
    <w:rsid w:val="008F24C5"/>
    <w:rsid w:val="00907673"/>
    <w:rsid w:val="009313F2"/>
    <w:rsid w:val="00933466"/>
    <w:rsid w:val="00936AA5"/>
    <w:rsid w:val="00956535"/>
    <w:rsid w:val="00987AD9"/>
    <w:rsid w:val="009C6C4E"/>
    <w:rsid w:val="009D02A5"/>
    <w:rsid w:val="009D223A"/>
    <w:rsid w:val="00A02A2E"/>
    <w:rsid w:val="00A300A7"/>
    <w:rsid w:val="00A34F83"/>
    <w:rsid w:val="00A6172F"/>
    <w:rsid w:val="00A76CD3"/>
    <w:rsid w:val="00A91FAE"/>
    <w:rsid w:val="00AD68C1"/>
    <w:rsid w:val="00AE5F98"/>
    <w:rsid w:val="00B16825"/>
    <w:rsid w:val="00B31B37"/>
    <w:rsid w:val="00B37A80"/>
    <w:rsid w:val="00B86661"/>
    <w:rsid w:val="00B91352"/>
    <w:rsid w:val="00B931E9"/>
    <w:rsid w:val="00B93F2D"/>
    <w:rsid w:val="00C473CB"/>
    <w:rsid w:val="00C67677"/>
    <w:rsid w:val="00C82BAB"/>
    <w:rsid w:val="00CD2FA8"/>
    <w:rsid w:val="00CF01C6"/>
    <w:rsid w:val="00D04EF5"/>
    <w:rsid w:val="00D43D1D"/>
    <w:rsid w:val="00DE19AD"/>
    <w:rsid w:val="00E02BA0"/>
    <w:rsid w:val="00E04E99"/>
    <w:rsid w:val="00E23B6C"/>
    <w:rsid w:val="00E662AC"/>
    <w:rsid w:val="00E9402E"/>
    <w:rsid w:val="00EC71CF"/>
    <w:rsid w:val="00EE5FDC"/>
    <w:rsid w:val="00EE7B50"/>
    <w:rsid w:val="00EF7410"/>
    <w:rsid w:val="00F27034"/>
    <w:rsid w:val="00F636A7"/>
    <w:rsid w:val="00F86E62"/>
    <w:rsid w:val="00FB528B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A1775"/>
  <w15:docId w15:val="{1502F4ED-D4BB-49D4-91D7-120BE848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1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2241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2418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styleId="nfasis">
    <w:name w:val="Emphasis"/>
    <w:basedOn w:val="Fuentedeprrafopredeter"/>
    <w:uiPriority w:val="20"/>
    <w:qFormat/>
    <w:rsid w:val="00224186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1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b-stl-normal">
    <w:name w:val="wb-stl-normal"/>
    <w:basedOn w:val="Normal"/>
    <w:rsid w:val="00A6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172F"/>
    <w:rPr>
      <w:b/>
      <w:bCs/>
    </w:rPr>
  </w:style>
  <w:style w:type="paragraph" w:styleId="Prrafodelista">
    <w:name w:val="List Paragraph"/>
    <w:basedOn w:val="Normal"/>
    <w:uiPriority w:val="34"/>
    <w:qFormat/>
    <w:rsid w:val="009D22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31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A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2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A2E"/>
  </w:style>
  <w:style w:type="paragraph" w:styleId="Piedepgina">
    <w:name w:val="footer"/>
    <w:basedOn w:val="Normal"/>
    <w:link w:val="PiedepginaCar"/>
    <w:uiPriority w:val="99"/>
    <w:unhideWhenUsed/>
    <w:rsid w:val="00A02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A2E"/>
  </w:style>
  <w:style w:type="character" w:styleId="Refdecomentario">
    <w:name w:val="annotation reference"/>
    <w:basedOn w:val="Fuentedeprrafopredeter"/>
    <w:uiPriority w:val="99"/>
    <w:semiHidden/>
    <w:unhideWhenUsed/>
    <w:rsid w:val="00C473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73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73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3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3CB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93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GTT</dc:creator>
  <cp:lastModifiedBy>Lorena barra</cp:lastModifiedBy>
  <cp:revision>2</cp:revision>
  <dcterms:created xsi:type="dcterms:W3CDTF">2026-01-26T00:25:00Z</dcterms:created>
  <dcterms:modified xsi:type="dcterms:W3CDTF">2026-01-26T00:25:00Z</dcterms:modified>
</cp:coreProperties>
</file>